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F52" w:rsidRDefault="00637F52" w:rsidP="009B573F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Maria Saputo </w:t>
      </w:r>
      <w:proofErr w:type="spellStart"/>
      <w:r>
        <w:rPr>
          <w:color w:val="000000" w:themeColor="text1"/>
          <w:sz w:val="32"/>
          <w:szCs w:val="32"/>
        </w:rPr>
        <w:t>Monticciolo</w:t>
      </w:r>
      <w:proofErr w:type="spellEnd"/>
    </w:p>
    <w:p w:rsidR="00573CB7" w:rsidRDefault="00BA251B" w:rsidP="009B573F">
      <w:pPr>
        <w:jc w:val="center"/>
        <w:rPr>
          <w:color w:val="000000" w:themeColor="text1"/>
          <w:sz w:val="32"/>
          <w:szCs w:val="32"/>
        </w:rPr>
      </w:pPr>
      <w:r w:rsidRPr="009B573F">
        <w:rPr>
          <w:color w:val="000000" w:themeColor="text1"/>
          <w:sz w:val="32"/>
          <w:szCs w:val="32"/>
        </w:rPr>
        <w:t>Clinical Research Unit (CRU)</w:t>
      </w:r>
    </w:p>
    <w:p w:rsidR="00171E54" w:rsidRPr="009B573F" w:rsidRDefault="00171E54" w:rsidP="009B573F">
      <w:pPr>
        <w:jc w:val="center"/>
        <w:rPr>
          <w:color w:val="000000" w:themeColor="text1"/>
          <w:sz w:val="32"/>
          <w:szCs w:val="32"/>
        </w:rPr>
      </w:pPr>
    </w:p>
    <w:p w:rsidR="00FC3AD0" w:rsidRDefault="00F65ACB" w:rsidP="00FC3AD0">
      <w:r w:rsidRPr="00C13DF1">
        <w:rPr>
          <w:noProof/>
          <w:lang w:val="fr-CA" w:eastAsia="fr-CA"/>
        </w:rPr>
        <w:drawing>
          <wp:anchor distT="0" distB="0" distL="114300" distR="114300" simplePos="0" relativeHeight="251663360" behindDoc="0" locked="0" layoutInCell="1" allowOverlap="1" wp14:anchorId="200AF232" wp14:editId="5EFA2574">
            <wp:simplePos x="0" y="0"/>
            <wp:positionH relativeFrom="column">
              <wp:posOffset>3505200</wp:posOffset>
            </wp:positionH>
            <wp:positionV relativeFrom="paragraph">
              <wp:posOffset>8255</wp:posOffset>
            </wp:positionV>
            <wp:extent cx="2305685" cy="683166"/>
            <wp:effectExtent l="19050" t="19050" r="18415" b="222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683166"/>
                    </a:xfrm>
                    <a:prstGeom prst="rect">
                      <a:avLst/>
                    </a:prstGeom>
                    <a:ln>
                      <a:solidFill>
                        <a:srgbClr val="FFC000">
                          <a:lumMod val="60000"/>
                          <a:lumOff val="4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DF1">
        <w:rPr>
          <w:noProof/>
          <w:lang w:val="fr-CA" w:eastAsia="fr-CA"/>
        </w:rPr>
        <w:drawing>
          <wp:anchor distT="0" distB="0" distL="114300" distR="114300" simplePos="0" relativeHeight="251662336" behindDoc="0" locked="0" layoutInCell="1" allowOverlap="1" wp14:anchorId="7AD595D6" wp14:editId="6EE21EC9">
            <wp:simplePos x="0" y="0"/>
            <wp:positionH relativeFrom="margin">
              <wp:posOffset>600075</wp:posOffset>
            </wp:positionH>
            <wp:positionV relativeFrom="paragraph">
              <wp:posOffset>189230</wp:posOffset>
            </wp:positionV>
            <wp:extent cx="4382630" cy="2200275"/>
            <wp:effectExtent l="57150" t="57150" r="56515" b="4762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67" t="25333" r="19307" b="40505"/>
                    <a:stretch/>
                  </pic:blipFill>
                  <pic:spPr bwMode="auto">
                    <a:xfrm>
                      <a:off x="0" y="0"/>
                      <a:ext cx="4382630" cy="2200275"/>
                    </a:xfrm>
                    <a:prstGeom prst="rect">
                      <a:avLst/>
                    </a:prstGeom>
                    <a:ln w="57150" cap="flat" cmpd="sng" algn="ctr">
                      <a:solidFill>
                        <a:srgbClr val="FFC000">
                          <a:lumMod val="60000"/>
                          <a:lumOff val="4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1E54" w:rsidRDefault="00171E54" w:rsidP="00FC3AD0">
      <w:pPr>
        <w:rPr>
          <w:b/>
          <w:sz w:val="32"/>
          <w:szCs w:val="32"/>
        </w:rPr>
      </w:pPr>
    </w:p>
    <w:p w:rsidR="00171E54" w:rsidRDefault="00171E54" w:rsidP="00FC3AD0">
      <w:pPr>
        <w:rPr>
          <w:b/>
          <w:sz w:val="32"/>
          <w:szCs w:val="32"/>
        </w:rPr>
      </w:pPr>
    </w:p>
    <w:p w:rsidR="00171E54" w:rsidRDefault="00171E54" w:rsidP="00FC3AD0">
      <w:pPr>
        <w:rPr>
          <w:b/>
          <w:sz w:val="32"/>
          <w:szCs w:val="32"/>
        </w:rPr>
      </w:pPr>
    </w:p>
    <w:p w:rsidR="00171E54" w:rsidRDefault="00171E54" w:rsidP="00FC3AD0">
      <w:pPr>
        <w:rPr>
          <w:b/>
          <w:sz w:val="32"/>
          <w:szCs w:val="32"/>
        </w:rPr>
      </w:pPr>
    </w:p>
    <w:p w:rsidR="00171E54" w:rsidRDefault="00171E54" w:rsidP="00FC3AD0">
      <w:pPr>
        <w:rPr>
          <w:b/>
          <w:sz w:val="32"/>
          <w:szCs w:val="32"/>
        </w:rPr>
      </w:pPr>
    </w:p>
    <w:p w:rsidR="00171E54" w:rsidRDefault="00171E54" w:rsidP="00FC3AD0">
      <w:pPr>
        <w:rPr>
          <w:b/>
          <w:sz w:val="32"/>
          <w:szCs w:val="32"/>
        </w:rPr>
      </w:pPr>
    </w:p>
    <w:p w:rsidR="00F65ACB" w:rsidRDefault="00F65ACB" w:rsidP="00FC3AD0">
      <w:pPr>
        <w:rPr>
          <w:b/>
          <w:sz w:val="32"/>
          <w:szCs w:val="32"/>
        </w:rPr>
      </w:pPr>
    </w:p>
    <w:p w:rsidR="00FC3AD0" w:rsidRPr="009B573F" w:rsidRDefault="00FC3AD0" w:rsidP="00FC3AD0">
      <w:pPr>
        <w:rPr>
          <w:b/>
          <w:sz w:val="32"/>
          <w:szCs w:val="32"/>
        </w:rPr>
      </w:pPr>
      <w:r w:rsidRPr="009B573F">
        <w:rPr>
          <w:b/>
          <w:sz w:val="32"/>
          <w:szCs w:val="32"/>
        </w:rPr>
        <w:t>Regular clinic and office hours</w:t>
      </w:r>
      <w:r w:rsidR="00F40BBA" w:rsidRPr="009B573F">
        <w:rPr>
          <w:b/>
          <w:sz w:val="32"/>
          <w:szCs w:val="32"/>
        </w:rPr>
        <w:t>, by appointment</w:t>
      </w:r>
    </w:p>
    <w:p w:rsidR="00FC3AD0" w:rsidRDefault="00FC3AD0" w:rsidP="00FC3AD0">
      <w:r>
        <w:t>Monday-</w:t>
      </w:r>
      <w:r w:rsidR="00F40BBA">
        <w:t xml:space="preserve"> </w:t>
      </w:r>
      <w:r w:rsidR="00F65ACB">
        <w:t>Thursday:</w:t>
      </w:r>
      <w:r w:rsidR="00F40BBA">
        <w:t xml:space="preserve"> </w:t>
      </w:r>
      <w:r w:rsidR="00BA251B">
        <w:tab/>
      </w:r>
      <w:r>
        <w:t xml:space="preserve"> 8h00-16h00</w:t>
      </w:r>
    </w:p>
    <w:p w:rsidR="00FC3AD0" w:rsidRDefault="00FC3AD0" w:rsidP="00FC3AD0">
      <w:r>
        <w:t xml:space="preserve">Friday: </w:t>
      </w:r>
      <w:r w:rsidR="00BA251B">
        <w:tab/>
      </w:r>
      <w:r w:rsidR="00BA251B">
        <w:tab/>
      </w:r>
      <w:r w:rsidR="00BA251B">
        <w:tab/>
        <w:t xml:space="preserve"> </w:t>
      </w:r>
      <w:r>
        <w:t>8h00-15h00</w:t>
      </w:r>
    </w:p>
    <w:p w:rsidR="00623C04" w:rsidRPr="009B573F" w:rsidRDefault="00FC3AD0" w:rsidP="00FC3AD0">
      <w:r>
        <w:t xml:space="preserve">Saturday-Sunday: </w:t>
      </w:r>
      <w:r w:rsidR="00BA251B">
        <w:tab/>
        <w:t xml:space="preserve"> </w:t>
      </w:r>
      <w:r>
        <w:t>closed</w:t>
      </w:r>
    </w:p>
    <w:p w:rsidR="00FC3AD0" w:rsidRPr="009B573F" w:rsidRDefault="00FC3AD0" w:rsidP="00FC3AD0">
      <w:pPr>
        <w:rPr>
          <w:b/>
          <w:sz w:val="32"/>
          <w:szCs w:val="32"/>
        </w:rPr>
      </w:pPr>
      <w:r w:rsidRPr="009B573F">
        <w:rPr>
          <w:b/>
          <w:sz w:val="32"/>
          <w:szCs w:val="32"/>
        </w:rPr>
        <w:t>How to find us</w:t>
      </w:r>
    </w:p>
    <w:p w:rsidR="00623C04" w:rsidRPr="009B573F" w:rsidRDefault="000218BF" w:rsidP="00FC3AD0">
      <w:r>
        <w:t>Contact us at 514-340-</w:t>
      </w:r>
      <w:r w:rsidR="00573CB7">
        <w:t>8222 x24572</w:t>
      </w:r>
    </w:p>
    <w:p w:rsidR="00FC3AD0" w:rsidRPr="009B573F" w:rsidRDefault="00FC3AD0" w:rsidP="00FC3AD0">
      <w:pPr>
        <w:rPr>
          <w:b/>
          <w:sz w:val="32"/>
          <w:szCs w:val="32"/>
        </w:rPr>
      </w:pPr>
      <w:r w:rsidRPr="009B573F">
        <w:rPr>
          <w:b/>
          <w:sz w:val="32"/>
          <w:szCs w:val="32"/>
        </w:rPr>
        <w:t>Where to find us</w:t>
      </w:r>
    </w:p>
    <w:p w:rsidR="00DC76B3" w:rsidRDefault="00F65ACB" w:rsidP="00DC76B3">
      <w:r>
        <w:t>Pavilion</w:t>
      </w:r>
      <w:r w:rsidR="00DC76B3">
        <w:t xml:space="preserve"> E</w:t>
      </w:r>
      <w:r w:rsidR="00623C04">
        <w:t xml:space="preserve">, </w:t>
      </w:r>
      <w:r w:rsidR="00DC76B3">
        <w:t>6</w:t>
      </w:r>
      <w:r w:rsidR="00DC76B3" w:rsidRPr="00250A98">
        <w:rPr>
          <w:vertAlign w:val="superscript"/>
        </w:rPr>
        <w:t>th</w:t>
      </w:r>
      <w:r w:rsidR="00EB3249">
        <w:t xml:space="preserve"> floor</w:t>
      </w:r>
      <w:r w:rsidR="00DC76B3">
        <w:t xml:space="preserve"> </w:t>
      </w:r>
      <w:r w:rsidR="00EB3249">
        <w:t xml:space="preserve">of the </w:t>
      </w:r>
      <w:r w:rsidR="00680912">
        <w:t>Segal</w:t>
      </w:r>
      <w:r w:rsidR="00EB3249">
        <w:t xml:space="preserve"> Cancer Center</w:t>
      </w:r>
    </w:p>
    <w:p w:rsidR="00C13DF1" w:rsidRDefault="00C13DF1" w:rsidP="00FC3AD0">
      <w:pPr>
        <w:rPr>
          <w:b/>
          <w:sz w:val="32"/>
          <w:szCs w:val="32"/>
        </w:rPr>
      </w:pPr>
    </w:p>
    <w:p w:rsidR="00FC3AD0" w:rsidRPr="009B573F" w:rsidRDefault="00FC3AD0" w:rsidP="00FC3AD0">
      <w:pPr>
        <w:rPr>
          <w:b/>
          <w:sz w:val="32"/>
          <w:szCs w:val="32"/>
        </w:rPr>
      </w:pPr>
      <w:r w:rsidRPr="009B573F">
        <w:rPr>
          <w:b/>
          <w:sz w:val="32"/>
          <w:szCs w:val="32"/>
        </w:rPr>
        <w:t>Overview</w:t>
      </w:r>
    </w:p>
    <w:p w:rsidR="00623C04" w:rsidRDefault="00573CB7" w:rsidP="00573CB7">
      <w:r>
        <w:t xml:space="preserve">The Clinical Research Unit (CRU) </w:t>
      </w:r>
      <w:r w:rsidR="00C73ADB">
        <w:t xml:space="preserve">was founded in </w:t>
      </w:r>
      <w:r w:rsidR="00637F52" w:rsidRPr="009B573F">
        <w:t>1994</w:t>
      </w:r>
      <w:r w:rsidR="00C73ADB">
        <w:t xml:space="preserve"> and </w:t>
      </w:r>
      <w:r w:rsidR="006A1755">
        <w:t xml:space="preserve">focuses on the </w:t>
      </w:r>
      <w:r>
        <w:t>conduct</w:t>
      </w:r>
      <w:r w:rsidR="006A1755">
        <w:t xml:space="preserve"> of phase I and early phase II cancer</w:t>
      </w:r>
      <w:r>
        <w:t xml:space="preserve"> trials</w:t>
      </w:r>
      <w:r w:rsidR="006A1755">
        <w:t>.</w:t>
      </w:r>
      <w:r w:rsidR="000E4B18" w:rsidRPr="000E4B18">
        <w:t xml:space="preserve"> </w:t>
      </w:r>
      <w:r w:rsidR="000E4B18">
        <w:t xml:space="preserve">The unit has successfully </w:t>
      </w:r>
      <w:r w:rsidR="00680912">
        <w:t>grown</w:t>
      </w:r>
      <w:r w:rsidR="000E4B18">
        <w:t xml:space="preserve"> over the years and </w:t>
      </w:r>
      <w:r w:rsidR="001B6D83">
        <w:t>has homed to</w:t>
      </w:r>
      <w:r w:rsidR="00220EBF">
        <w:t xml:space="preserve"> a modern facility on</w:t>
      </w:r>
      <w:r w:rsidR="000E4B18">
        <w:t xml:space="preserve"> </w:t>
      </w:r>
      <w:proofErr w:type="gramStart"/>
      <w:r w:rsidR="000E4B18">
        <w:t>6</w:t>
      </w:r>
      <w:r w:rsidR="000E4B18" w:rsidRPr="00574710">
        <w:rPr>
          <w:vertAlign w:val="superscript"/>
        </w:rPr>
        <w:t>th</w:t>
      </w:r>
      <w:proofErr w:type="gramEnd"/>
      <w:r w:rsidR="000E4B18">
        <w:t xml:space="preserve"> floor of the Segal Cancer Center (SCC) </w:t>
      </w:r>
      <w:r w:rsidR="001B6D83">
        <w:t xml:space="preserve">in </w:t>
      </w:r>
      <w:r w:rsidR="000E4B18">
        <w:t xml:space="preserve">2016. </w:t>
      </w:r>
    </w:p>
    <w:p w:rsidR="00BA0A13" w:rsidRDefault="00C73ADB">
      <w:r>
        <w:t>The unit has an</w:t>
      </w:r>
      <w:r w:rsidR="00573CB7">
        <w:t xml:space="preserve"> extensive </w:t>
      </w:r>
      <w:proofErr w:type="gramStart"/>
      <w:r w:rsidR="00573CB7">
        <w:t>track record</w:t>
      </w:r>
      <w:proofErr w:type="gramEnd"/>
      <w:r w:rsidR="00E77FEB">
        <w:t xml:space="preserve"> of </w:t>
      </w:r>
      <w:r w:rsidR="00E77FEB" w:rsidRPr="002843AB">
        <w:t xml:space="preserve">over </w:t>
      </w:r>
      <w:r w:rsidR="002843AB">
        <w:t>450</w:t>
      </w:r>
      <w:r w:rsidR="00E77FEB">
        <w:t xml:space="preserve"> trials</w:t>
      </w:r>
      <w:r w:rsidR="00623C04">
        <w:t xml:space="preserve"> executed</w:t>
      </w:r>
      <w:r w:rsidR="00E77FEB">
        <w:t xml:space="preserve"> </w:t>
      </w:r>
      <w:r w:rsidR="00F40BBA">
        <w:t>over</w:t>
      </w:r>
      <w:r w:rsidR="00E77FEB">
        <w:t xml:space="preserve"> the </w:t>
      </w:r>
      <w:r w:rsidR="000E25DB">
        <w:t>past</w:t>
      </w:r>
      <w:r w:rsidR="00E77FEB">
        <w:t xml:space="preserve"> 25 years, all</w:t>
      </w:r>
      <w:r w:rsidR="00573CB7">
        <w:t xml:space="preserve"> in novel cancer the</w:t>
      </w:r>
      <w:r w:rsidR="00E77FEB">
        <w:t xml:space="preserve">rapeutics. </w:t>
      </w:r>
      <w:r w:rsidR="00623C04">
        <w:t>These include a number</w:t>
      </w:r>
      <w:r>
        <w:t xml:space="preserve"> o</w:t>
      </w:r>
      <w:r w:rsidR="00623C04">
        <w:t xml:space="preserve">f “first in human” trials for </w:t>
      </w:r>
      <w:r>
        <w:t>agents</w:t>
      </w:r>
      <w:r w:rsidR="00623C04">
        <w:t xml:space="preserve"> develope</w:t>
      </w:r>
      <w:r w:rsidR="00384697">
        <w:t>d by academic researchers,</w:t>
      </w:r>
      <w:r w:rsidR="00623C04">
        <w:t xml:space="preserve"> Canadian biotech companies</w:t>
      </w:r>
      <w:r>
        <w:t xml:space="preserve"> </w:t>
      </w:r>
      <w:r w:rsidR="00384697">
        <w:t>and</w:t>
      </w:r>
      <w:r>
        <w:t xml:space="preserve"> </w:t>
      </w:r>
      <w:r w:rsidR="00384697">
        <w:t>international</w:t>
      </w:r>
      <w:r w:rsidR="00623C04">
        <w:t xml:space="preserve"> pharmaceutical</w:t>
      </w:r>
      <w:r w:rsidR="00384697">
        <w:t xml:space="preserve"> industries</w:t>
      </w:r>
      <w:r w:rsidR="00623C04">
        <w:t xml:space="preserve">. </w:t>
      </w:r>
      <w:r w:rsidR="00E77FEB">
        <w:t xml:space="preserve">The </w:t>
      </w:r>
      <w:r w:rsidR="006A1755">
        <w:t>research tea</w:t>
      </w:r>
      <w:r w:rsidR="000E25DB">
        <w:t>m</w:t>
      </w:r>
      <w:r w:rsidR="00E77FEB">
        <w:t xml:space="preserve"> </w:t>
      </w:r>
      <w:r w:rsidR="00623C04">
        <w:t xml:space="preserve">comprised </w:t>
      </w:r>
      <w:r w:rsidR="00EE7EA8">
        <w:t xml:space="preserve">of </w:t>
      </w:r>
      <w:r w:rsidR="00E77FEB">
        <w:t>research nurses, clinicians and coordinators</w:t>
      </w:r>
      <w:r w:rsidR="006A1755">
        <w:t>,</w:t>
      </w:r>
      <w:r w:rsidR="00623C04">
        <w:t xml:space="preserve"> </w:t>
      </w:r>
      <w:r w:rsidR="00C9731D">
        <w:t>is</w:t>
      </w:r>
      <w:r w:rsidR="00623C04">
        <w:t xml:space="preserve"> dedicated to deliver outstanding patient care and research data. </w:t>
      </w:r>
      <w:r w:rsidR="000E25DB">
        <w:t xml:space="preserve">Preparation for study activation is highly efficient. </w:t>
      </w:r>
      <w:r w:rsidR="006A1755">
        <w:t xml:space="preserve">Investigations carried out in the CRU </w:t>
      </w:r>
      <w:proofErr w:type="gramStart"/>
      <w:r w:rsidR="006A1755">
        <w:t xml:space="preserve">are reviewed and approved by </w:t>
      </w:r>
      <w:r w:rsidR="000E25DB">
        <w:t xml:space="preserve">local/provincial </w:t>
      </w:r>
      <w:r w:rsidR="006A1755">
        <w:t>research ethics boards</w:t>
      </w:r>
      <w:proofErr w:type="gramEnd"/>
      <w:r w:rsidR="006A1755">
        <w:t xml:space="preserve">. Policies and procedures </w:t>
      </w:r>
      <w:r w:rsidR="00BA251B">
        <w:t xml:space="preserve">are in place to adhere to Good Clinical Practice and comply with regulations set forth by Canadian and international </w:t>
      </w:r>
      <w:r w:rsidR="00AC0371">
        <w:t>regulatory bodies</w:t>
      </w:r>
      <w:r w:rsidR="000E25DB">
        <w:t>.</w:t>
      </w:r>
      <w:r w:rsidR="006A1755">
        <w:t xml:space="preserve"> The </w:t>
      </w:r>
      <w:r w:rsidR="00623C04">
        <w:t>CRU</w:t>
      </w:r>
      <w:r w:rsidR="006A1755">
        <w:t>’s contribution</w:t>
      </w:r>
      <w:r w:rsidR="00606799">
        <w:t>s</w:t>
      </w:r>
      <w:r w:rsidR="006A1755">
        <w:t xml:space="preserve"> </w:t>
      </w:r>
      <w:r w:rsidR="000E25DB">
        <w:t>to</w:t>
      </w:r>
      <w:r w:rsidR="006A1755">
        <w:t xml:space="preserve"> </w:t>
      </w:r>
      <w:r w:rsidR="00AC0371">
        <w:t>advancing scientific knowledge and improving</w:t>
      </w:r>
      <w:r w:rsidR="006A1755">
        <w:t xml:space="preserve"> cancer care </w:t>
      </w:r>
      <w:r w:rsidR="00606799">
        <w:t>are</w:t>
      </w:r>
      <w:r w:rsidR="006A1755">
        <w:t xml:space="preserve"> reflected </w:t>
      </w:r>
      <w:r w:rsidR="002843AB">
        <w:t>hundreds of publications.</w:t>
      </w:r>
    </w:p>
    <w:p w:rsidR="00F65ACB" w:rsidRDefault="00F65ACB"/>
    <w:p w:rsidR="00BA0A13" w:rsidRDefault="00942DF0">
      <w:r>
        <w:rPr>
          <w:noProof/>
          <w:lang w:val="fr-CA" w:eastAsia="fr-CA"/>
        </w:rPr>
        <w:drawing>
          <wp:anchor distT="0" distB="0" distL="114300" distR="114300" simplePos="0" relativeHeight="251665408" behindDoc="1" locked="0" layoutInCell="1" allowOverlap="1" wp14:anchorId="41FD2E75" wp14:editId="28EC0311">
            <wp:simplePos x="0" y="0"/>
            <wp:positionH relativeFrom="margin">
              <wp:posOffset>60960</wp:posOffset>
            </wp:positionH>
            <wp:positionV relativeFrom="paragraph">
              <wp:posOffset>13970</wp:posOffset>
            </wp:positionV>
            <wp:extent cx="3676650" cy="2250440"/>
            <wp:effectExtent l="57150" t="57150" r="57150" b="54610"/>
            <wp:wrapTight wrapText="bothSides">
              <wp:wrapPolygon edited="0">
                <wp:start x="-336" y="-549"/>
                <wp:lineTo x="-336" y="21941"/>
                <wp:lineTo x="21824" y="21941"/>
                <wp:lineTo x="21824" y="-549"/>
                <wp:lineTo x="-336" y="-54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U be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03"/>
                    <a:stretch/>
                  </pic:blipFill>
                  <pic:spPr bwMode="auto">
                    <a:xfrm>
                      <a:off x="0" y="0"/>
                      <a:ext cx="3676650" cy="2250440"/>
                    </a:xfrm>
                    <a:prstGeom prst="rect">
                      <a:avLst/>
                    </a:prstGeom>
                    <a:ln w="50800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B86">
        <w:t xml:space="preserve">The </w:t>
      </w:r>
      <w:r w:rsidR="00BA0A13">
        <w:t xml:space="preserve">clinic and </w:t>
      </w:r>
      <w:r w:rsidR="006A1755">
        <w:t>treatment area of the unit</w:t>
      </w:r>
      <w:r w:rsidR="00623C04">
        <w:t xml:space="preserve"> </w:t>
      </w:r>
      <w:r w:rsidR="006A1755">
        <w:t>is furnished</w:t>
      </w:r>
      <w:r w:rsidR="00623C04">
        <w:t xml:space="preserve"> </w:t>
      </w:r>
      <w:r w:rsidR="006A1755">
        <w:t xml:space="preserve">with </w:t>
      </w:r>
      <w:r w:rsidR="00623C04">
        <w:t xml:space="preserve">state-of-the-art </w:t>
      </w:r>
      <w:r w:rsidR="00BA0A13">
        <w:t xml:space="preserve">medical </w:t>
      </w:r>
      <w:r w:rsidR="00623C04">
        <w:t xml:space="preserve">equipment, including a </w:t>
      </w:r>
      <w:r w:rsidR="00623C04" w:rsidRPr="009B573F">
        <w:t>7-bed patient area, 12</w:t>
      </w:r>
      <w:r w:rsidR="00623C04">
        <w:t xml:space="preserve"> treatment chairs and 3 single-patient rooms; all adjacent to the nursing station for continuous monitoring of patients on study. Patient treatment, follow-up and care takes place in the </w:t>
      </w:r>
      <w:r w:rsidR="00BA0A13">
        <w:t>unit</w:t>
      </w:r>
      <w:r w:rsidR="002967B3">
        <w:t>.</w:t>
      </w:r>
    </w:p>
    <w:p w:rsidR="00C23E7E" w:rsidRDefault="00C23E7E"/>
    <w:p w:rsidR="00C23E7E" w:rsidRDefault="00C23E7E"/>
    <w:p w:rsidR="00C23E7E" w:rsidRDefault="00C23E7E"/>
    <w:p w:rsidR="00C23E7E" w:rsidRDefault="00C23E7E"/>
    <w:p w:rsidR="00C23E7E" w:rsidRDefault="00C23E7E"/>
    <w:p w:rsidR="00C23E7E" w:rsidRDefault="00C23E7E"/>
    <w:p w:rsidR="00F65ACB" w:rsidRDefault="00F65ACB"/>
    <w:p w:rsidR="00C23E7E" w:rsidRDefault="00BA0A13">
      <w:r>
        <w:rPr>
          <w:noProof/>
          <w:lang w:val="fr-CA" w:eastAsia="fr-CA"/>
        </w:rPr>
        <w:drawing>
          <wp:anchor distT="0" distB="0" distL="114300" distR="114300" simplePos="0" relativeHeight="251664384" behindDoc="1" locked="0" layoutInCell="1" allowOverlap="1" wp14:anchorId="013E5E60" wp14:editId="50B72905">
            <wp:simplePos x="0" y="0"/>
            <wp:positionH relativeFrom="margin">
              <wp:posOffset>-403860</wp:posOffset>
            </wp:positionH>
            <wp:positionV relativeFrom="paragraph">
              <wp:posOffset>-11849100</wp:posOffset>
            </wp:positionV>
            <wp:extent cx="3657600" cy="1740294"/>
            <wp:effectExtent l="57150" t="57150" r="57150" b="50800"/>
            <wp:wrapTight wrapText="bothSides">
              <wp:wrapPolygon edited="0">
                <wp:start x="-338" y="-709"/>
                <wp:lineTo x="-338" y="21994"/>
                <wp:lineTo x="21825" y="21994"/>
                <wp:lineTo x="21825" y="-709"/>
                <wp:lineTo x="-338" y="-709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U lab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/>
                    <a:stretch/>
                  </pic:blipFill>
                  <pic:spPr bwMode="auto">
                    <a:xfrm>
                      <a:off x="0" y="0"/>
                      <a:ext cx="3687169" cy="1754363"/>
                    </a:xfrm>
                    <a:prstGeom prst="rect">
                      <a:avLst/>
                    </a:prstGeom>
                    <a:ln w="50800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755">
        <w:t>The unit</w:t>
      </w:r>
      <w:r w:rsidR="00C9731D">
        <w:t xml:space="preserve"> also includes a laboratory area </w:t>
      </w:r>
      <w:r w:rsidR="006A1755">
        <w:t xml:space="preserve">fitted </w:t>
      </w:r>
      <w:r w:rsidR="00C9731D">
        <w:t>with core equipment</w:t>
      </w:r>
      <w:r w:rsidR="00AE483A">
        <w:t xml:space="preserve"> allowing</w:t>
      </w:r>
      <w:r w:rsidR="00C9731D">
        <w:t xml:space="preserve"> for </w:t>
      </w:r>
      <w:r w:rsidR="003E71E8">
        <w:t xml:space="preserve">efficient collection, processing, </w:t>
      </w:r>
      <w:r w:rsidR="00C9731D">
        <w:t>storage</w:t>
      </w:r>
      <w:r w:rsidR="006A1755">
        <w:t xml:space="preserve"> and shipment</w:t>
      </w:r>
      <w:r w:rsidR="00C9731D">
        <w:t xml:space="preserve"> of samples for</w:t>
      </w:r>
      <w:r w:rsidR="00EB3B86">
        <w:t xml:space="preserve"> </w:t>
      </w:r>
      <w:r w:rsidR="00573CB7">
        <w:t>pharmacokine</w:t>
      </w:r>
      <w:r w:rsidR="00C9731D">
        <w:t xml:space="preserve">tic and </w:t>
      </w:r>
      <w:r w:rsidR="002A0751">
        <w:t xml:space="preserve">wide range of </w:t>
      </w:r>
      <w:r>
        <w:t>pharmacodynamics</w:t>
      </w:r>
      <w:r w:rsidR="00C9731D">
        <w:t xml:space="preserve"> studies.</w:t>
      </w:r>
      <w:r w:rsidR="00E0656E">
        <w:t xml:space="preserve"> </w:t>
      </w:r>
      <w:r w:rsidR="00DE5C11">
        <w:t xml:space="preserve"> </w:t>
      </w:r>
    </w:p>
    <w:p w:rsidR="00C23E7E" w:rsidRDefault="00C23E7E"/>
    <w:p w:rsidR="00C23E7E" w:rsidRDefault="00C23E7E"/>
    <w:p w:rsidR="00C23E7E" w:rsidRDefault="00C23E7E"/>
    <w:p w:rsidR="00C23E7E" w:rsidRDefault="00C23E7E"/>
    <w:p w:rsidR="00C23E7E" w:rsidRDefault="00C23E7E"/>
    <w:p w:rsidR="00C23E7E" w:rsidRPr="00C23E7E" w:rsidRDefault="000E25DB" w:rsidP="00FC3AD0">
      <w:r>
        <w:t xml:space="preserve">The unit can also count on </w:t>
      </w:r>
      <w:proofErr w:type="gramStart"/>
      <w:r>
        <w:t>highly-trained</w:t>
      </w:r>
      <w:proofErr w:type="gramEnd"/>
      <w:r w:rsidR="001B6D83">
        <w:t xml:space="preserve"> collaborators in adjacent</w:t>
      </w:r>
      <w:r>
        <w:t xml:space="preserve"> laboratories</w:t>
      </w:r>
      <w:r w:rsidR="00A85B6B">
        <w:t xml:space="preserve"> </w:t>
      </w:r>
      <w:r>
        <w:t>to perform more complex sample manipulations</w:t>
      </w:r>
      <w:r w:rsidR="00B1011B">
        <w:t xml:space="preserve">, including </w:t>
      </w:r>
      <w:r w:rsidR="00F65ACB">
        <w:t xml:space="preserve">tumor </w:t>
      </w:r>
      <w:r w:rsidR="00B1011B">
        <w:t>tissue biopsies</w:t>
      </w:r>
      <w:r w:rsidR="001B6D83">
        <w:t>.</w:t>
      </w:r>
      <w:r w:rsidR="00C23E7E">
        <w:t xml:space="preserve"> </w:t>
      </w:r>
      <w:r w:rsidR="00E94565">
        <w:t>Throughout the years, the CRU</w:t>
      </w:r>
      <w:r w:rsidR="00C23E7E">
        <w:t>’</w:t>
      </w:r>
      <w:r w:rsidR="00EE7EA8">
        <w:t>s</w:t>
      </w:r>
      <w:r w:rsidR="001B6D83">
        <w:t xml:space="preserve"> </w:t>
      </w:r>
      <w:r w:rsidR="00E502B4">
        <w:t>co</w:t>
      </w:r>
      <w:r w:rsidR="00EE7EA8">
        <w:t>llabo</w:t>
      </w:r>
      <w:r w:rsidR="002A0751">
        <w:t>r</w:t>
      </w:r>
      <w:r w:rsidR="00EE7EA8">
        <w:t>ation</w:t>
      </w:r>
      <w:r w:rsidR="00E25BB1">
        <w:t xml:space="preserve"> with</w:t>
      </w:r>
      <w:r w:rsidR="001B6D83">
        <w:t xml:space="preserve"> research groups </w:t>
      </w:r>
      <w:r w:rsidR="005506FD">
        <w:t>affiliated w</w:t>
      </w:r>
      <w:r w:rsidR="00C23E7E">
        <w:t xml:space="preserve">ith the Jewish General Hospital, </w:t>
      </w:r>
      <w:r w:rsidR="00A0370B">
        <w:t xml:space="preserve">including researchers of the </w:t>
      </w:r>
      <w:hyperlink r:id="rId10" w:history="1">
        <w:r w:rsidR="005702AE" w:rsidRPr="00DE5C11">
          <w:rPr>
            <w:rStyle w:val="Hyperlink"/>
          </w:rPr>
          <w:t>Lady Davis Institute</w:t>
        </w:r>
      </w:hyperlink>
      <w:r w:rsidR="00A0370B">
        <w:t xml:space="preserve"> and of</w:t>
      </w:r>
      <w:r w:rsidR="00BA0A13">
        <w:t xml:space="preserve"> the JGH</w:t>
      </w:r>
      <w:r w:rsidR="00A40F1B">
        <w:t xml:space="preserve"> </w:t>
      </w:r>
      <w:hyperlink r:id="rId11" w:history="1">
        <w:r w:rsidR="005702AE">
          <w:rPr>
            <w:rStyle w:val="Hyperlink"/>
          </w:rPr>
          <w:t>Molecular Pathology</w:t>
        </w:r>
      </w:hyperlink>
      <w:r w:rsidR="00A40F1B">
        <w:t xml:space="preserve"> department</w:t>
      </w:r>
      <w:r w:rsidR="00C23E7E">
        <w:t>,</w:t>
      </w:r>
      <w:r w:rsidR="005702AE">
        <w:t xml:space="preserve"> </w:t>
      </w:r>
      <w:r w:rsidR="005506FD">
        <w:t xml:space="preserve">and </w:t>
      </w:r>
      <w:r w:rsidR="00A40F1B">
        <w:t xml:space="preserve">other </w:t>
      </w:r>
      <w:r w:rsidR="005506FD">
        <w:t>Montreal-</w:t>
      </w:r>
      <w:r w:rsidR="005702AE">
        <w:t xml:space="preserve">based </w:t>
      </w:r>
      <w:r w:rsidR="005506FD">
        <w:t xml:space="preserve">institutes </w:t>
      </w:r>
      <w:r w:rsidR="00AC0371">
        <w:t xml:space="preserve">have </w:t>
      </w:r>
      <w:r w:rsidR="00E502B4">
        <w:t>provide</w:t>
      </w:r>
      <w:r w:rsidR="005506FD">
        <w:t>d</w:t>
      </w:r>
      <w:r w:rsidR="00AA063A">
        <w:t xml:space="preserve"> remarkable opportunities to </w:t>
      </w:r>
      <w:r w:rsidR="00AC0371">
        <w:t xml:space="preserve">refine </w:t>
      </w:r>
      <w:r w:rsidR="00A40F1B">
        <w:t xml:space="preserve">precision medicine in cancer. </w:t>
      </w:r>
      <w:bookmarkStart w:id="0" w:name="_GoBack"/>
      <w:bookmarkEnd w:id="0"/>
    </w:p>
    <w:p w:rsidR="00FC3AD0" w:rsidRPr="009B573F" w:rsidRDefault="00FC3AD0" w:rsidP="00FC3AD0">
      <w:pPr>
        <w:rPr>
          <w:b/>
          <w:sz w:val="32"/>
          <w:szCs w:val="32"/>
        </w:rPr>
      </w:pPr>
      <w:r w:rsidRPr="009B573F">
        <w:rPr>
          <w:b/>
          <w:sz w:val="32"/>
          <w:szCs w:val="32"/>
        </w:rPr>
        <w:t>Services</w:t>
      </w:r>
      <w:r w:rsidR="00C73ADB" w:rsidRPr="009B573F">
        <w:rPr>
          <w:b/>
          <w:sz w:val="32"/>
          <w:szCs w:val="32"/>
        </w:rPr>
        <w:t xml:space="preserve"> and expertise</w:t>
      </w:r>
    </w:p>
    <w:p w:rsidR="001B6D83" w:rsidRDefault="001B6D83" w:rsidP="001B6D83">
      <w:pPr>
        <w:pStyle w:val="ListParagraph"/>
        <w:numPr>
          <w:ilvl w:val="0"/>
          <w:numId w:val="1"/>
        </w:numPr>
      </w:pPr>
      <w:r>
        <w:t>Translational research</w:t>
      </w:r>
    </w:p>
    <w:p w:rsidR="00D376E2" w:rsidRDefault="00D376E2" w:rsidP="00D376E2">
      <w:pPr>
        <w:pStyle w:val="ListParagraph"/>
        <w:numPr>
          <w:ilvl w:val="0"/>
          <w:numId w:val="1"/>
        </w:numPr>
      </w:pPr>
      <w:r>
        <w:t>Trial planning</w:t>
      </w:r>
    </w:p>
    <w:p w:rsidR="00D376E2" w:rsidRDefault="00D376E2" w:rsidP="00D376E2">
      <w:pPr>
        <w:pStyle w:val="ListParagraph"/>
        <w:numPr>
          <w:ilvl w:val="0"/>
          <w:numId w:val="1"/>
        </w:numPr>
      </w:pPr>
      <w:r>
        <w:t>Study design</w:t>
      </w:r>
    </w:p>
    <w:p w:rsidR="001B6D83" w:rsidRDefault="001B6D83" w:rsidP="009B573F">
      <w:pPr>
        <w:pStyle w:val="ListParagraph"/>
        <w:numPr>
          <w:ilvl w:val="0"/>
          <w:numId w:val="1"/>
        </w:numPr>
      </w:pPr>
      <w:r>
        <w:t xml:space="preserve">Trial coordination </w:t>
      </w:r>
    </w:p>
    <w:p w:rsidR="00E77FEB" w:rsidRDefault="00E77FEB" w:rsidP="009B573F">
      <w:pPr>
        <w:pStyle w:val="ListParagraph"/>
        <w:numPr>
          <w:ilvl w:val="0"/>
          <w:numId w:val="1"/>
        </w:numPr>
      </w:pPr>
      <w:r>
        <w:t>Pharmacokinetic studies</w:t>
      </w:r>
    </w:p>
    <w:p w:rsidR="00DE5C11" w:rsidRDefault="00DE5C11" w:rsidP="009B573F">
      <w:pPr>
        <w:pStyle w:val="ListParagraph"/>
        <w:numPr>
          <w:ilvl w:val="0"/>
          <w:numId w:val="1"/>
        </w:numPr>
      </w:pPr>
      <w:proofErr w:type="spellStart"/>
      <w:r>
        <w:t>Biobanking</w:t>
      </w:r>
      <w:proofErr w:type="spellEnd"/>
    </w:p>
    <w:p w:rsidR="00E77FEB" w:rsidRDefault="00E77FEB" w:rsidP="009B573F">
      <w:pPr>
        <w:pStyle w:val="ListParagraph"/>
        <w:numPr>
          <w:ilvl w:val="0"/>
          <w:numId w:val="1"/>
        </w:numPr>
      </w:pPr>
      <w:r>
        <w:t>Clinical sample processing</w:t>
      </w:r>
    </w:p>
    <w:p w:rsidR="00623C04" w:rsidRDefault="00623C04" w:rsidP="009B573F">
      <w:pPr>
        <w:pStyle w:val="ListParagraph"/>
        <w:numPr>
          <w:ilvl w:val="0"/>
          <w:numId w:val="1"/>
        </w:numPr>
      </w:pPr>
      <w:r>
        <w:t xml:space="preserve">Trial regulatory </w:t>
      </w:r>
      <w:r w:rsidR="00C73ADB">
        <w:t>framework</w:t>
      </w:r>
    </w:p>
    <w:p w:rsidR="00680912" w:rsidRDefault="00C73ADB" w:rsidP="00680912">
      <w:pPr>
        <w:pStyle w:val="ListParagraph"/>
        <w:numPr>
          <w:ilvl w:val="0"/>
          <w:numId w:val="1"/>
        </w:numPr>
      </w:pPr>
      <w:r>
        <w:t xml:space="preserve">Dedicated </w:t>
      </w:r>
      <w:r w:rsidR="00F65ACB">
        <w:t xml:space="preserve">trial </w:t>
      </w:r>
      <w:r>
        <w:t>nursing</w:t>
      </w:r>
      <w:r w:rsidR="00680912" w:rsidRPr="00680912">
        <w:t xml:space="preserve"> </w:t>
      </w:r>
    </w:p>
    <w:p w:rsidR="00680912" w:rsidRDefault="00D376E2" w:rsidP="00680912">
      <w:pPr>
        <w:pStyle w:val="ListParagraph"/>
        <w:numPr>
          <w:ilvl w:val="0"/>
          <w:numId w:val="1"/>
        </w:numPr>
      </w:pPr>
      <w:r>
        <w:t>Trial d</w:t>
      </w:r>
      <w:r w:rsidR="00680912">
        <w:t>ata entry</w:t>
      </w:r>
    </w:p>
    <w:p w:rsidR="00AA063A" w:rsidRDefault="00680912">
      <w:pPr>
        <w:pStyle w:val="ListParagraph"/>
        <w:numPr>
          <w:ilvl w:val="0"/>
          <w:numId w:val="1"/>
        </w:numPr>
      </w:pPr>
      <w:r>
        <w:t>Investigator-initiated studies</w:t>
      </w:r>
    </w:p>
    <w:p w:rsidR="00AA063A" w:rsidRDefault="00EE7EA8" w:rsidP="009B573F">
      <w:r>
        <w:t>To look for</w:t>
      </w:r>
      <w:r w:rsidR="000B188E">
        <w:t xml:space="preserve"> clinical trials</w:t>
      </w:r>
      <w:r w:rsidR="00FA0B5F">
        <w:t xml:space="preserve"> in Quebec</w:t>
      </w:r>
      <w:r w:rsidR="000B188E">
        <w:t xml:space="preserve">, including trials conducted the CRU, please visit </w:t>
      </w:r>
      <w:hyperlink r:id="rId12" w:history="1">
        <w:proofErr w:type="spellStart"/>
        <w:r w:rsidR="000B188E" w:rsidRPr="000B188E">
          <w:rPr>
            <w:rStyle w:val="Hyperlink"/>
          </w:rPr>
          <w:t>OncoQuebec</w:t>
        </w:r>
        <w:proofErr w:type="spellEnd"/>
      </w:hyperlink>
      <w:r w:rsidR="00FA0B5F">
        <w:t>.</w:t>
      </w:r>
    </w:p>
    <w:p w:rsidR="00FA0B5F" w:rsidRDefault="00FA0B5F" w:rsidP="009B573F">
      <w:r>
        <w:t xml:space="preserve">To find out more about clinical trials, </w:t>
      </w:r>
      <w:r w:rsidR="00A40F1B">
        <w:t>patients may consult</w:t>
      </w:r>
      <w:r w:rsidR="00F840C2">
        <w:t xml:space="preserve"> </w:t>
      </w:r>
      <w:hyperlink r:id="rId13" w:history="1">
        <w:r w:rsidR="00F840C2">
          <w:rPr>
            <w:rStyle w:val="Hyperlink"/>
          </w:rPr>
          <w:t>https://itstartswithme.ca/</w:t>
        </w:r>
      </w:hyperlink>
    </w:p>
    <w:p w:rsidR="00AE483A" w:rsidRDefault="00F65ACB" w:rsidP="00FC3AD0">
      <w:pPr>
        <w:rPr>
          <w:b/>
          <w:sz w:val="32"/>
          <w:szCs w:val="32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66432" behindDoc="0" locked="0" layoutInCell="1" allowOverlap="1" wp14:anchorId="1DAD7BBD" wp14:editId="2370B537">
            <wp:simplePos x="0" y="0"/>
            <wp:positionH relativeFrom="column">
              <wp:posOffset>2933700</wp:posOffset>
            </wp:positionH>
            <wp:positionV relativeFrom="paragraph">
              <wp:posOffset>329565</wp:posOffset>
            </wp:positionV>
            <wp:extent cx="2515235" cy="1647825"/>
            <wp:effectExtent l="57150" t="57150" r="56515" b="66675"/>
            <wp:wrapThrough wrapText="bothSides">
              <wp:wrapPolygon edited="0">
                <wp:start x="-491" y="-749"/>
                <wp:lineTo x="-491" y="22224"/>
                <wp:lineTo x="21922" y="22224"/>
                <wp:lineTo x="21922" y="-749"/>
                <wp:lineTo x="-491" y="-749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RU office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755"/>
                    <a:stretch/>
                  </pic:blipFill>
                  <pic:spPr bwMode="auto">
                    <a:xfrm>
                      <a:off x="0" y="0"/>
                      <a:ext cx="2515235" cy="1647825"/>
                    </a:xfrm>
                    <a:prstGeom prst="rect">
                      <a:avLst/>
                    </a:prstGeom>
                    <a:ln w="50800" cap="flat" cmpd="sng" algn="ctr">
                      <a:solidFill>
                        <a:srgbClr val="FFC000">
                          <a:lumMod val="60000"/>
                          <a:lumOff val="4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3AB" w:rsidRDefault="002843AB" w:rsidP="007C181B">
      <w:pPr>
        <w:rPr>
          <w:b/>
          <w:sz w:val="32"/>
          <w:szCs w:val="32"/>
        </w:rPr>
      </w:pPr>
      <w:r>
        <w:rPr>
          <w:b/>
          <w:sz w:val="32"/>
          <w:szCs w:val="32"/>
        </w:rPr>
        <w:t>Administrative information</w:t>
      </w:r>
    </w:p>
    <w:p w:rsidR="007C181B" w:rsidRPr="009B573F" w:rsidRDefault="007C181B" w:rsidP="007C181B">
      <w:pPr>
        <w:rPr>
          <w:b/>
          <w:sz w:val="32"/>
          <w:szCs w:val="32"/>
        </w:rPr>
      </w:pPr>
      <w:r w:rsidRPr="009B573F">
        <w:rPr>
          <w:b/>
        </w:rPr>
        <w:t>Director:</w:t>
      </w:r>
      <w:r>
        <w:t xml:space="preserve"> </w:t>
      </w:r>
      <w:hyperlink r:id="rId15" w:history="1">
        <w:r w:rsidRPr="000547F8">
          <w:rPr>
            <w:rStyle w:val="Hyperlink"/>
          </w:rPr>
          <w:t>Wilson Miller, MD, PhD</w:t>
        </w:r>
      </w:hyperlink>
    </w:p>
    <w:p w:rsidR="007C181B" w:rsidRDefault="007C181B" w:rsidP="007C181B">
      <w:r w:rsidRPr="009B573F">
        <w:rPr>
          <w:b/>
        </w:rPr>
        <w:t>Associate Director:</w:t>
      </w:r>
      <w:r>
        <w:t xml:space="preserve"> </w:t>
      </w:r>
      <w:hyperlink r:id="rId16" w:history="1">
        <w:r w:rsidRPr="000547F8">
          <w:rPr>
            <w:rStyle w:val="Hyperlink"/>
          </w:rPr>
          <w:t>Sarit Assouline, MD</w:t>
        </w:r>
      </w:hyperlink>
    </w:p>
    <w:p w:rsidR="007C181B" w:rsidRDefault="007C181B" w:rsidP="007C181B">
      <w:r w:rsidRPr="009B573F">
        <w:rPr>
          <w:b/>
        </w:rPr>
        <w:t>Unit Manager:</w:t>
      </w:r>
      <w:r>
        <w:t xml:space="preserve"> </w:t>
      </w:r>
      <w:hyperlink r:id="rId17" w:history="1">
        <w:r w:rsidRPr="00860293">
          <w:rPr>
            <w:rStyle w:val="Hyperlink"/>
          </w:rPr>
          <w:t>Adele Cascini</w:t>
        </w:r>
      </w:hyperlink>
      <w:r>
        <w:t>, BA</w:t>
      </w:r>
    </w:p>
    <w:p w:rsidR="003E71E8" w:rsidRPr="003E71E8" w:rsidRDefault="007C181B">
      <w:r w:rsidRPr="009B573F">
        <w:rPr>
          <w:b/>
        </w:rPr>
        <w:t>Nurse Manager:</w:t>
      </w:r>
      <w:r w:rsidR="00C80F8F">
        <w:t xml:space="preserve"> Tracy </w:t>
      </w:r>
      <w:proofErr w:type="spellStart"/>
      <w:r w:rsidR="00C80F8F">
        <w:t>R</w:t>
      </w:r>
      <w:r w:rsidR="000B188E">
        <w:t>egimbald</w:t>
      </w:r>
      <w:proofErr w:type="spellEnd"/>
      <w:r w:rsidR="000B188E">
        <w:t>, BScN</w:t>
      </w:r>
    </w:p>
    <w:sectPr w:rsidR="003E71E8" w:rsidRPr="003E7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14383"/>
    <w:multiLevelType w:val="hybridMultilevel"/>
    <w:tmpl w:val="F17CB482"/>
    <w:lvl w:ilvl="0" w:tplc="D4F8A4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44B78"/>
    <w:multiLevelType w:val="hybridMultilevel"/>
    <w:tmpl w:val="E0FA6BE8"/>
    <w:lvl w:ilvl="0" w:tplc="248C5C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AF"/>
    <w:rsid w:val="000218BF"/>
    <w:rsid w:val="000547F8"/>
    <w:rsid w:val="000B188E"/>
    <w:rsid w:val="000C7282"/>
    <w:rsid w:val="000E25DB"/>
    <w:rsid w:val="000E4B18"/>
    <w:rsid w:val="00171E54"/>
    <w:rsid w:val="00172935"/>
    <w:rsid w:val="001B6D83"/>
    <w:rsid w:val="00220EBF"/>
    <w:rsid w:val="002542E0"/>
    <w:rsid w:val="002843AB"/>
    <w:rsid w:val="002967B3"/>
    <w:rsid w:val="002A0751"/>
    <w:rsid w:val="002E76BF"/>
    <w:rsid w:val="00354434"/>
    <w:rsid w:val="00384697"/>
    <w:rsid w:val="003E71E8"/>
    <w:rsid w:val="00417E06"/>
    <w:rsid w:val="004508DE"/>
    <w:rsid w:val="00490FF3"/>
    <w:rsid w:val="00542372"/>
    <w:rsid w:val="005506FD"/>
    <w:rsid w:val="00550D25"/>
    <w:rsid w:val="005702AE"/>
    <w:rsid w:val="00573CB7"/>
    <w:rsid w:val="005C2415"/>
    <w:rsid w:val="00606799"/>
    <w:rsid w:val="00623C04"/>
    <w:rsid w:val="00637F52"/>
    <w:rsid w:val="00664FFA"/>
    <w:rsid w:val="00680912"/>
    <w:rsid w:val="00691BAF"/>
    <w:rsid w:val="006A1755"/>
    <w:rsid w:val="00723520"/>
    <w:rsid w:val="007878ED"/>
    <w:rsid w:val="007C181B"/>
    <w:rsid w:val="00856248"/>
    <w:rsid w:val="00860293"/>
    <w:rsid w:val="008D3251"/>
    <w:rsid w:val="00917682"/>
    <w:rsid w:val="00942DF0"/>
    <w:rsid w:val="009B573F"/>
    <w:rsid w:val="00A0370B"/>
    <w:rsid w:val="00A40F1B"/>
    <w:rsid w:val="00A85B6B"/>
    <w:rsid w:val="00AA063A"/>
    <w:rsid w:val="00AC0371"/>
    <w:rsid w:val="00AC716E"/>
    <w:rsid w:val="00AD4EA2"/>
    <w:rsid w:val="00AE483A"/>
    <w:rsid w:val="00B1011B"/>
    <w:rsid w:val="00BA0A13"/>
    <w:rsid w:val="00BA251B"/>
    <w:rsid w:val="00C13DF1"/>
    <w:rsid w:val="00C23E7E"/>
    <w:rsid w:val="00C73ADB"/>
    <w:rsid w:val="00C80F8F"/>
    <w:rsid w:val="00C9731D"/>
    <w:rsid w:val="00D376E2"/>
    <w:rsid w:val="00D825ED"/>
    <w:rsid w:val="00DC76B3"/>
    <w:rsid w:val="00DD2A26"/>
    <w:rsid w:val="00DE5C11"/>
    <w:rsid w:val="00E04D22"/>
    <w:rsid w:val="00E0656E"/>
    <w:rsid w:val="00E25BB1"/>
    <w:rsid w:val="00E502B4"/>
    <w:rsid w:val="00E77FEB"/>
    <w:rsid w:val="00E94565"/>
    <w:rsid w:val="00EB3249"/>
    <w:rsid w:val="00EB3948"/>
    <w:rsid w:val="00EB3B86"/>
    <w:rsid w:val="00EE7EA8"/>
    <w:rsid w:val="00F25BC5"/>
    <w:rsid w:val="00F40BBA"/>
    <w:rsid w:val="00F439A3"/>
    <w:rsid w:val="00F65ACB"/>
    <w:rsid w:val="00F840C2"/>
    <w:rsid w:val="00FA0B5F"/>
    <w:rsid w:val="00FC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F0D91-C904-48C7-9B47-5A8924E4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6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3C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7F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065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itstartswithme.c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oncoquebec.com/en" TargetMode="External"/><Relationship Id="rId17" Type="http://schemas.openxmlformats.org/officeDocument/2006/relationships/hyperlink" Target="mailto:acascini@jgh.mcgill.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cgill.ca/translational-research-cancer/sarit-e-assoulin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jgh.ca/care-services/segal-cancer-centre/molecular-patholog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cgill.ca/translational-research-cancer/wilson-h-miller" TargetMode="External"/><Relationship Id="rId10" Type="http://schemas.openxmlformats.org/officeDocument/2006/relationships/hyperlink" Target="http://www.ladydavis.c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5EF2C-CEE0-4A10-97AF-D95273EC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Jewish General Hospital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Lambert</dc:creator>
  <cp:keywords/>
  <dc:description/>
  <cp:lastModifiedBy>Miriam Santos</cp:lastModifiedBy>
  <cp:revision>2</cp:revision>
  <cp:lastPrinted>2020-07-02T16:03:00Z</cp:lastPrinted>
  <dcterms:created xsi:type="dcterms:W3CDTF">2020-08-03T16:09:00Z</dcterms:created>
  <dcterms:modified xsi:type="dcterms:W3CDTF">2020-08-03T16:09:00Z</dcterms:modified>
</cp:coreProperties>
</file>